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7" w:rsidRPr="000023E7" w:rsidRDefault="000023E7" w:rsidP="000023E7">
      <w:pPr>
        <w:shd w:val="clear" w:color="auto" w:fill="FFFFFF"/>
        <w:spacing w:before="249" w:after="166" w:line="414" w:lineRule="atLeast"/>
        <w:outlineLvl w:val="0"/>
        <w:rPr>
          <w:rFonts w:ascii="Montserrat" w:eastAsia="Times New Roman" w:hAnsi="Montserrat"/>
          <w:b/>
          <w:bCs/>
          <w:color w:val="273350"/>
          <w:kern w:val="36"/>
          <w:sz w:val="33"/>
          <w:szCs w:val="33"/>
          <w:lang w:eastAsia="ru-RU"/>
        </w:rPr>
      </w:pPr>
      <w:r w:rsidRPr="000023E7">
        <w:rPr>
          <w:rFonts w:ascii="Montserrat" w:eastAsia="Times New Roman" w:hAnsi="Montserrat"/>
          <w:b/>
          <w:bCs/>
          <w:color w:val="273350"/>
          <w:kern w:val="36"/>
          <w:sz w:val="33"/>
          <w:szCs w:val="33"/>
          <w:lang w:eastAsia="ru-RU"/>
        </w:rPr>
        <w:t>Внеурочная деятельность: "Россия - мои горизонты"</w:t>
      </w:r>
    </w:p>
    <w:p w:rsidR="000023E7" w:rsidRPr="000023E7" w:rsidRDefault="000023E7" w:rsidP="000023E7">
      <w:pPr>
        <w:shd w:val="clear" w:color="auto" w:fill="FFFFFF"/>
        <w:spacing w:before="249" w:after="166" w:line="414" w:lineRule="atLeast"/>
        <w:jc w:val="center"/>
        <w:outlineLvl w:val="0"/>
        <w:rPr>
          <w:rFonts w:ascii="Montserrat" w:eastAsia="Times New Roman" w:hAnsi="Montserrat"/>
          <w:b/>
          <w:bCs/>
          <w:color w:val="273350"/>
          <w:kern w:val="36"/>
          <w:sz w:val="33"/>
          <w:szCs w:val="33"/>
          <w:lang w:eastAsia="ru-RU"/>
        </w:rPr>
      </w:pPr>
      <w:r w:rsidRPr="000023E7">
        <w:rPr>
          <w:rFonts w:eastAsia="Times New Roman"/>
          <w:b/>
          <w:bCs/>
          <w:color w:val="00A650"/>
          <w:kern w:val="36"/>
          <w:sz w:val="40"/>
          <w:lang w:eastAsia="ru-RU"/>
        </w:rPr>
        <w:t>Профориентация</w:t>
      </w:r>
    </w:p>
    <w:p w:rsidR="000023E7" w:rsidRPr="000023E7" w:rsidRDefault="000023E7" w:rsidP="000023E7">
      <w:pPr>
        <w:shd w:val="clear" w:color="auto" w:fill="FFFFFF"/>
        <w:spacing w:before="62" w:after="145" w:line="240" w:lineRule="auto"/>
        <w:jc w:val="center"/>
        <w:rPr>
          <w:rFonts w:ascii="Montserrat" w:eastAsia="Times New Roman" w:hAnsi="Montserrat"/>
          <w:color w:val="273350"/>
          <w:sz w:val="17"/>
          <w:szCs w:val="17"/>
          <w:lang w:eastAsia="ru-RU"/>
        </w:rPr>
      </w:pPr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Министерство просвещения Российской Федерации реализует </w:t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профориентационные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проекты, в том числе в рамках федерального проекта «Успех каждого ребенка» национального проекта «Образование».</w:t>
      </w:r>
      <w:r w:rsidRPr="000023E7">
        <w:rPr>
          <w:rFonts w:eastAsia="Times New Roman"/>
          <w:color w:val="273350"/>
          <w:sz w:val="17"/>
          <w:szCs w:val="17"/>
          <w:lang w:eastAsia="ru-RU"/>
        </w:rPr>
        <w:br/>
      </w:r>
      <w:r w:rsidRPr="000023E7">
        <w:rPr>
          <w:rFonts w:eastAsia="Times New Roman"/>
          <w:color w:val="273350"/>
          <w:sz w:val="17"/>
          <w:szCs w:val="17"/>
          <w:lang w:eastAsia="ru-RU"/>
        </w:rPr>
        <w:br/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Минпросвещения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России разработало и внедрило с 1 сентября 2023 г. во всех школах Российской Федерации единую модель </w:t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профориентационной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деятельности (</w:t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профминимум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). Целевой аудиторией являются </w:t>
      </w:r>
      <w:proofErr w:type="gramStart"/>
      <w:r w:rsidRPr="000023E7">
        <w:rPr>
          <w:rFonts w:eastAsia="Times New Roman"/>
          <w:color w:val="273350"/>
          <w:sz w:val="30"/>
          <w:szCs w:val="30"/>
          <w:lang w:eastAsia="ru-RU"/>
        </w:rPr>
        <w:t>обучающиеся</w:t>
      </w:r>
      <w:proofErr w:type="gram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6–11-х классов, включая детей с ОВЗ и инвалидностью.</w:t>
      </w:r>
      <w:r w:rsidRPr="000023E7">
        <w:rPr>
          <w:rFonts w:eastAsia="Times New Roman"/>
          <w:color w:val="273350"/>
          <w:sz w:val="17"/>
          <w:szCs w:val="17"/>
          <w:lang w:eastAsia="ru-RU"/>
        </w:rPr>
        <w:br/>
      </w:r>
      <w:r w:rsidRPr="000023E7">
        <w:rPr>
          <w:rFonts w:eastAsia="Times New Roman"/>
          <w:color w:val="273350"/>
          <w:sz w:val="17"/>
          <w:szCs w:val="17"/>
          <w:lang w:eastAsia="ru-RU"/>
        </w:rPr>
        <w:br/>
      </w:r>
      <w:proofErr w:type="spellStart"/>
      <w:proofErr w:type="gramStart"/>
      <w:r w:rsidRPr="000023E7">
        <w:rPr>
          <w:rFonts w:eastAsia="Times New Roman"/>
          <w:color w:val="273350"/>
          <w:sz w:val="30"/>
          <w:szCs w:val="30"/>
          <w:lang w:eastAsia="ru-RU"/>
        </w:rPr>
        <w:t>Профминимум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включает три уровня: базовый (не менее 40 часов в учебный год), основной (не менее 60 часов в учебный год), продвинутый (не менее 80 часов в учебный год).</w:t>
      </w:r>
      <w:proofErr w:type="gramEnd"/>
      <w:r w:rsidRPr="000023E7">
        <w:rPr>
          <w:rFonts w:eastAsia="Times New Roman"/>
          <w:color w:val="273350"/>
          <w:sz w:val="17"/>
          <w:szCs w:val="17"/>
          <w:lang w:eastAsia="ru-RU"/>
        </w:rPr>
        <w:br/>
      </w:r>
      <w:r w:rsidRPr="000023E7">
        <w:rPr>
          <w:rFonts w:eastAsia="Times New Roman"/>
          <w:color w:val="273350"/>
          <w:sz w:val="17"/>
          <w:szCs w:val="17"/>
          <w:lang w:eastAsia="ru-RU"/>
        </w:rPr>
        <w:br/>
      </w:r>
      <w:proofErr w:type="spellStart"/>
      <w:r w:rsidRPr="000023E7">
        <w:rPr>
          <w:rFonts w:eastAsia="Times New Roman"/>
          <w:b/>
          <w:bCs/>
          <w:i/>
          <w:iCs/>
          <w:color w:val="00AEEF"/>
          <w:sz w:val="30"/>
          <w:lang w:eastAsia="ru-RU"/>
        </w:rPr>
        <w:t>Профминимум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 – единый универсальный набор </w:t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профориентационных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практик и инструментов для проведения мероприятий по профессиональной ориентации обучающихся, который включает в себя семь направлений.</w:t>
      </w:r>
    </w:p>
    <w:p w:rsidR="000023E7" w:rsidRPr="000023E7" w:rsidRDefault="000023E7" w:rsidP="000023E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/>
          <w:color w:val="273350"/>
          <w:sz w:val="17"/>
          <w:szCs w:val="17"/>
          <w:lang w:eastAsia="ru-RU"/>
        </w:rPr>
      </w:pPr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профильные </w:t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предпрофессиональные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классы (инженерные, медицинские, космические, IT, педагогические, предпринимательские, ориентированные на востребованные профессии на рынке труда);</w:t>
      </w:r>
    </w:p>
    <w:p w:rsidR="000023E7" w:rsidRPr="000023E7" w:rsidRDefault="000023E7" w:rsidP="000023E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/>
          <w:color w:val="273350"/>
          <w:sz w:val="17"/>
          <w:szCs w:val="17"/>
          <w:lang w:eastAsia="ru-RU"/>
        </w:rPr>
      </w:pPr>
      <w:r w:rsidRPr="000023E7">
        <w:rPr>
          <w:rFonts w:eastAsia="Times New Roman"/>
          <w:color w:val="273350"/>
          <w:sz w:val="30"/>
          <w:szCs w:val="30"/>
          <w:lang w:eastAsia="ru-RU"/>
        </w:rPr>
        <w:t>урочная деятельность (</w:t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профориентационное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содержание уроков по предметам общеобразовательного цикла, где рассматривается значимость учебного предмета в профессиональной деятельности и т.д.);</w:t>
      </w:r>
    </w:p>
    <w:p w:rsidR="000023E7" w:rsidRPr="000023E7" w:rsidRDefault="000023E7" w:rsidP="000023E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/>
          <w:color w:val="273350"/>
          <w:sz w:val="17"/>
          <w:szCs w:val="17"/>
          <w:lang w:eastAsia="ru-RU"/>
        </w:rPr>
      </w:pPr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внеурочная деятельность: цикл </w:t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профориентационных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занятий «Россия – Мои горизонты» (проведение занятий организовано с 1 сентября 2023 г. еженедельно по четвергам);</w:t>
      </w:r>
    </w:p>
    <w:p w:rsidR="000023E7" w:rsidRPr="000023E7" w:rsidRDefault="000023E7" w:rsidP="000023E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/>
          <w:color w:val="273350"/>
          <w:sz w:val="17"/>
          <w:szCs w:val="17"/>
          <w:lang w:eastAsia="ru-RU"/>
        </w:rPr>
      </w:pPr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практико-ориентированный модуль (экскурсии на производство, экскурсии и посещение лекций в образовательных организациях СПО и </w:t>
      </w:r>
      <w:proofErr w:type="gramStart"/>
      <w:r w:rsidRPr="000023E7">
        <w:rPr>
          <w:rFonts w:eastAsia="Times New Roman"/>
          <w:color w:val="273350"/>
          <w:sz w:val="30"/>
          <w:szCs w:val="30"/>
          <w:lang w:eastAsia="ru-RU"/>
        </w:rPr>
        <w:t>ВО</w:t>
      </w:r>
      <w:proofErr w:type="gram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, посещение </w:t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профориентационной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др.);</w:t>
      </w:r>
    </w:p>
    <w:p w:rsidR="000023E7" w:rsidRPr="000023E7" w:rsidRDefault="000023E7" w:rsidP="000023E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/>
          <w:color w:val="273350"/>
          <w:sz w:val="17"/>
          <w:szCs w:val="17"/>
          <w:lang w:eastAsia="ru-RU"/>
        </w:rPr>
      </w:pPr>
      <w:r w:rsidRPr="000023E7">
        <w:rPr>
          <w:rFonts w:eastAsia="Times New Roman"/>
          <w:color w:val="273350"/>
          <w:sz w:val="30"/>
          <w:szCs w:val="30"/>
          <w:lang w:eastAsia="ru-RU"/>
        </w:rPr>
        <w:lastRenderedPageBreak/>
        <w:t>дополнительное образование (выбор и посещение занятий в рамках дополнительного образования с учетом склонностей и образовательных потребностей);</w:t>
      </w:r>
    </w:p>
    <w:p w:rsidR="000023E7" w:rsidRPr="000023E7" w:rsidRDefault="000023E7" w:rsidP="000023E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/>
          <w:color w:val="273350"/>
          <w:sz w:val="17"/>
          <w:szCs w:val="17"/>
          <w:lang w:eastAsia="ru-RU"/>
        </w:rPr>
      </w:pPr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профессиональное </w:t>
      </w:r>
      <w:proofErr w:type="gramStart"/>
      <w:r w:rsidRPr="000023E7">
        <w:rPr>
          <w:rFonts w:eastAsia="Times New Roman"/>
          <w:color w:val="273350"/>
          <w:sz w:val="30"/>
          <w:szCs w:val="30"/>
          <w:lang w:eastAsia="ru-RU"/>
        </w:rPr>
        <w:t>обучение по программам</w:t>
      </w:r>
      <w:proofErr w:type="gram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профессиональной подготовки по профессиям рабочих и должностям служащих (получение профессии по образцу существовавших учебно-производственных комбинатов);</w:t>
      </w:r>
    </w:p>
    <w:p w:rsidR="000023E7" w:rsidRPr="000023E7" w:rsidRDefault="000023E7" w:rsidP="000023E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/>
          <w:color w:val="273350"/>
          <w:sz w:val="17"/>
          <w:szCs w:val="17"/>
          <w:lang w:eastAsia="ru-RU"/>
        </w:rPr>
      </w:pPr>
      <w:r w:rsidRPr="000023E7">
        <w:rPr>
          <w:rFonts w:eastAsia="Times New Roman"/>
          <w:color w:val="273350"/>
          <w:sz w:val="30"/>
          <w:szCs w:val="30"/>
          <w:lang w:eastAsia="ru-RU"/>
        </w:rPr>
        <w:t>взаимодействие с родителями или законными представителями (родительские собрания, участие родительского сообщества во встречах с представителями разных профессий).</w:t>
      </w:r>
    </w:p>
    <w:p w:rsidR="000023E7" w:rsidRPr="000023E7" w:rsidRDefault="000023E7" w:rsidP="000023E7">
      <w:pPr>
        <w:shd w:val="clear" w:color="auto" w:fill="FFFFFF"/>
        <w:spacing w:before="62" w:after="145" w:line="240" w:lineRule="auto"/>
        <w:jc w:val="center"/>
        <w:rPr>
          <w:rFonts w:ascii="Montserrat" w:eastAsia="Times New Roman" w:hAnsi="Montserrat"/>
          <w:color w:val="273350"/>
          <w:sz w:val="17"/>
          <w:szCs w:val="17"/>
          <w:lang w:eastAsia="ru-RU"/>
        </w:rPr>
      </w:pPr>
      <w:r w:rsidRPr="000023E7">
        <w:rPr>
          <w:rFonts w:eastAsia="Times New Roman"/>
          <w:b/>
          <w:bCs/>
          <w:i/>
          <w:iCs/>
          <w:color w:val="F16522"/>
          <w:sz w:val="30"/>
          <w:lang w:eastAsia="ru-RU"/>
        </w:rPr>
        <w:t xml:space="preserve">Один из ключевых </w:t>
      </w:r>
      <w:proofErr w:type="spellStart"/>
      <w:r w:rsidRPr="000023E7">
        <w:rPr>
          <w:rFonts w:eastAsia="Times New Roman"/>
          <w:b/>
          <w:bCs/>
          <w:i/>
          <w:iCs/>
          <w:color w:val="F16522"/>
          <w:sz w:val="30"/>
          <w:lang w:eastAsia="ru-RU"/>
        </w:rPr>
        <w:t>профориентационных</w:t>
      </w:r>
      <w:proofErr w:type="spellEnd"/>
      <w:r w:rsidRPr="000023E7">
        <w:rPr>
          <w:rFonts w:eastAsia="Times New Roman"/>
          <w:b/>
          <w:bCs/>
          <w:i/>
          <w:iCs/>
          <w:color w:val="F16522"/>
          <w:sz w:val="30"/>
          <w:lang w:eastAsia="ru-RU"/>
        </w:rPr>
        <w:t xml:space="preserve"> проектов</w:t>
      </w:r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 – федеральный проект «Билет в будущее», охват которого составляет уже более 2,3 </w:t>
      </w:r>
      <w:proofErr w:type="spellStart"/>
      <w:proofErr w:type="gramStart"/>
      <w:r w:rsidRPr="000023E7">
        <w:rPr>
          <w:rFonts w:eastAsia="Times New Roman"/>
          <w:color w:val="273350"/>
          <w:sz w:val="30"/>
          <w:szCs w:val="30"/>
          <w:lang w:eastAsia="ru-RU"/>
        </w:rPr>
        <w:t>млн</w:t>
      </w:r>
      <w:proofErr w:type="spellEnd"/>
      <w:proofErr w:type="gram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школьников. На платформе проекта зарегистрировано более 790 тыс. учеников 6–11-х классов, более 337 тыс. обучающихся прошли региональные </w:t>
      </w:r>
      <w:proofErr w:type="spellStart"/>
      <w:r w:rsidRPr="000023E7">
        <w:rPr>
          <w:rFonts w:eastAsia="Times New Roman"/>
          <w:color w:val="273350"/>
          <w:sz w:val="30"/>
          <w:szCs w:val="30"/>
          <w:lang w:eastAsia="ru-RU"/>
        </w:rPr>
        <w:t>профориентационные</w:t>
      </w:r>
      <w:proofErr w:type="spellEnd"/>
      <w:r w:rsidRPr="000023E7">
        <w:rPr>
          <w:rFonts w:eastAsia="Times New Roman"/>
          <w:color w:val="273350"/>
          <w:sz w:val="30"/>
          <w:szCs w:val="30"/>
          <w:lang w:eastAsia="ru-RU"/>
        </w:rPr>
        <w:t xml:space="preserve"> пробы.</w:t>
      </w:r>
    </w:p>
    <w:p w:rsidR="00CF5668" w:rsidRDefault="00CF5668"/>
    <w:sectPr w:rsidR="00CF5668" w:rsidSect="00CF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05"/>
    <w:multiLevelType w:val="multilevel"/>
    <w:tmpl w:val="35E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23E7"/>
    <w:rsid w:val="000023E7"/>
    <w:rsid w:val="00881F87"/>
    <w:rsid w:val="00C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68"/>
  </w:style>
  <w:style w:type="paragraph" w:styleId="1">
    <w:name w:val="heading 1"/>
    <w:basedOn w:val="a"/>
    <w:link w:val="10"/>
    <w:uiPriority w:val="9"/>
    <w:qFormat/>
    <w:rsid w:val="000023E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3E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23E7"/>
    <w:rPr>
      <w:b/>
      <w:bCs/>
    </w:rPr>
  </w:style>
  <w:style w:type="paragraph" w:styleId="a4">
    <w:name w:val="Normal (Web)"/>
    <w:basedOn w:val="a"/>
    <w:uiPriority w:val="99"/>
    <w:semiHidden/>
    <w:unhideWhenUsed/>
    <w:rsid w:val="000023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23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2024-02-28T07:32:00Z</dcterms:created>
  <dcterms:modified xsi:type="dcterms:W3CDTF">2024-02-28T07:32:00Z</dcterms:modified>
</cp:coreProperties>
</file>